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1"/>
        <w:widowControl/>
        <w:numPr>
          <w:ilvl w:val="0"/>
          <w:numId w:val="0"/>
        </w:numPr>
        <w:bidi w:val="0"/>
        <w:ind w:left="5386" w:right="0" w:hanging="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>Приложение</w:t>
      </w:r>
    </w:p>
    <w:p>
      <w:pPr>
        <w:pStyle w:val="ConsPlusNormal1"/>
        <w:widowControl/>
        <w:numPr>
          <w:ilvl w:val="0"/>
          <w:numId w:val="0"/>
        </w:numPr>
        <w:ind w:left="5499" w:hanging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1"/>
        <w:widowControl/>
        <w:numPr>
          <w:ilvl w:val="0"/>
          <w:numId w:val="0"/>
        </w:numPr>
        <w:bidi w:val="0"/>
        <w:spacing w:lineRule="auto" w:line="240"/>
        <w:ind w:left="5386" w:right="0" w:hanging="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>УТВЕРЖДЕН                                                                                           постановлением администрации</w:t>
      </w:r>
    </w:p>
    <w:p>
      <w:pPr>
        <w:pStyle w:val="ConsPlusNormal1"/>
        <w:widowControl/>
        <w:numPr>
          <w:ilvl w:val="0"/>
          <w:numId w:val="0"/>
        </w:numPr>
        <w:bidi w:val="0"/>
        <w:spacing w:lineRule="auto" w:line="240"/>
        <w:ind w:left="5386" w:right="0" w:hanging="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>
      <w:pPr>
        <w:pStyle w:val="Normal"/>
        <w:widowControl/>
        <w:numPr>
          <w:ilvl w:val="0"/>
          <w:numId w:val="0"/>
        </w:numPr>
        <w:spacing w:lineRule="auto" w:line="240"/>
        <w:ind w:left="5386" w:hanging="0"/>
        <w:jc w:val="both"/>
        <w:outlineLvl w:val="0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Туапсинский </w:t>
      </w:r>
      <w:r>
        <w:rPr>
          <w:rFonts w:eastAsia="Lucida Sans Unicode" w:cs="Times New Roman" w:ascii="Times New Roman" w:hAnsi="Times New Roman"/>
          <w:kern w:val="2"/>
          <w:sz w:val="28"/>
          <w:szCs w:val="28"/>
          <w:lang w:val="ru-RU"/>
        </w:rPr>
        <w:t>муниципальный</w:t>
      </w:r>
    </w:p>
    <w:p>
      <w:pPr>
        <w:pStyle w:val="Normal"/>
        <w:widowControl/>
        <w:numPr>
          <w:ilvl w:val="0"/>
          <w:numId w:val="0"/>
        </w:numPr>
        <w:spacing w:lineRule="auto" w:line="240"/>
        <w:ind w:left="5386" w:hanging="0"/>
        <w:jc w:val="both"/>
        <w:outlineLvl w:val="0"/>
        <w:rPr/>
      </w:pPr>
      <w:r>
        <w:rPr>
          <w:rFonts w:eastAsia="Lucida Sans Unicode" w:cs="Times New Roman" w:ascii="Times New Roman" w:hAnsi="Times New Roman"/>
          <w:kern w:val="2"/>
          <w:sz w:val="28"/>
          <w:szCs w:val="28"/>
          <w:lang w:val="ru-RU"/>
        </w:rPr>
        <w:t>округ Краснодарского края</w:t>
      </w:r>
    </w:p>
    <w:p>
      <w:pPr>
        <w:pStyle w:val="Normal"/>
        <w:widowControl/>
        <w:numPr>
          <w:ilvl w:val="0"/>
          <w:numId w:val="0"/>
        </w:numPr>
        <w:spacing w:lineRule="auto" w:line="240"/>
        <w:ind w:left="5386" w:hanging="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none"/>
        </w:rPr>
        <w:t xml:space="preserve">____________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u w:val="none"/>
        </w:rPr>
        <w:t>__________</w:t>
      </w:r>
    </w:p>
    <w:p>
      <w:pPr>
        <w:pStyle w:val="Normal"/>
        <w:widowControl w:val="false"/>
        <w:numPr>
          <w:ilvl w:val="0"/>
          <w:numId w:val="0"/>
        </w:numPr>
        <w:ind w:firstLine="709"/>
        <w:jc w:val="center"/>
        <w:outlineLvl w:val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</w:t>
      </w:r>
    </w:p>
    <w:p>
      <w:pPr>
        <w:pStyle w:val="Normal"/>
        <w:widowControl w:val="false"/>
        <w:numPr>
          <w:ilvl w:val="0"/>
          <w:numId w:val="0"/>
        </w:numPr>
        <w:ind w:firstLine="709"/>
        <w:jc w:val="center"/>
        <w:outlineLvl w:val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Spacing"/>
        <w:jc w:val="center"/>
        <w:rPr/>
      </w:pPr>
      <w:r>
        <w:rPr>
          <w:rFonts w:ascii="Times New Roman" w:hAnsi="Times New Roman"/>
          <w:b/>
          <w:sz w:val="28"/>
          <w:szCs w:val="28"/>
        </w:rPr>
        <w:t>РЕГЛАМЕНТ</w:t>
      </w:r>
    </w:p>
    <w:p>
      <w:pPr>
        <w:pStyle w:val="NoSpacing"/>
        <w:jc w:val="center"/>
        <w:rPr/>
      </w:pPr>
      <w:r>
        <w:rPr>
          <w:rFonts w:ascii="Times New Roman" w:hAnsi="Times New Roman"/>
          <w:b/>
          <w:sz w:val="28"/>
          <w:szCs w:val="28"/>
        </w:rPr>
        <w:t>консультационного и организационного сопровождения</w:t>
      </w:r>
    </w:p>
    <w:p>
      <w:pPr>
        <w:pStyle w:val="NoSpacing"/>
        <w:jc w:val="center"/>
        <w:rPr/>
      </w:pPr>
      <w:r>
        <w:rPr>
          <w:rFonts w:ascii="Times New Roman" w:hAnsi="Times New Roman"/>
          <w:b/>
          <w:sz w:val="28"/>
          <w:szCs w:val="28"/>
        </w:rPr>
        <w:t xml:space="preserve">инвестиционных проектов, реализуемых и (или) </w:t>
      </w:r>
    </w:p>
    <w:p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планируемых к реализации на территории </w:t>
      </w:r>
    </w:p>
    <w:p>
      <w:pPr>
        <w:pStyle w:val="NoSpacing"/>
        <w:ind w:firstLine="709"/>
        <w:jc w:val="center"/>
        <w:rPr/>
      </w:pPr>
      <w:r>
        <w:rPr>
          <w:rFonts w:ascii="Times New Roman" w:hAnsi="Times New Roman"/>
          <w:b/>
          <w:sz w:val="28"/>
          <w:szCs w:val="28"/>
        </w:rPr>
        <w:t>Туапсинск</w:t>
      </w:r>
      <w:r>
        <w:rPr>
          <w:rFonts w:eastAsia="Times New Roman" w:cs="Times New Roman" w:ascii="Times New Roman" w:hAnsi="Times New Roman"/>
          <w:b/>
          <w:color w:val="000000"/>
          <w:kern w:val="0"/>
          <w:sz w:val="28"/>
          <w:szCs w:val="28"/>
          <w:lang w:val="ru-RU" w:eastAsia="ru-RU" w:bidi="ar-SA"/>
        </w:rPr>
        <w:t>ого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округа</w:t>
      </w:r>
    </w:p>
    <w:p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jc w:val="center"/>
        <w:rPr/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>
      <w:pPr>
        <w:pStyle w:val="Normal"/>
        <w:widowControl w:val="fals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Регламент устанавливает основные требования к консультационному и организационному сопровождению инвестиционных проектов, реализуемых и (или) планируемых к реализации на территории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Настоящий Регламент разработан в соответствии с методическими рекомендациями по обеспечению условий для благоприятного инвестиционного климата, утвержденными приказом департамента инвестиций и развития малого и среднего предпринимательства Краснодарского края от 5 февраля 2024 г. № 27 «Об утверждении методических рекомендаций по обеспечению условий для благоприятного инвестиционного климата в городских округах и муниципальных районах Краснодарского края», с методическими рекомендациями, утвержденными приказом Минэкономразвития России от 26 сентября 2023 г. 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(«Региональный инвестиционный стандарт»),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Законом Краснодарского края от 2 июля 2004 г. № 731-КЗ «О стимулировании инвестиционной деятельности в Краснодарском крае».</w:t>
      </w:r>
    </w:p>
    <w:p>
      <w:pPr>
        <w:pStyle w:val="NoSpacing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NoSpacing"/>
        <w:jc w:val="center"/>
        <w:rPr/>
      </w:pPr>
      <w:r>
        <w:rPr>
          <w:rFonts w:ascii="Times New Roman" w:hAnsi="Times New Roman"/>
          <w:sz w:val="28"/>
          <w:szCs w:val="28"/>
        </w:rPr>
        <w:t>2. Общие термины и понятия</w:t>
      </w:r>
    </w:p>
    <w:p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Инвестор – индивидуальный предприниматель или юридическое лицо, реализующий и (или) планирующий к реализации инвестиционный(е) проект(ы) на территории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Представитель Инвестора – уполномоченное Инвестором лицо, непосредственно обратившееся за сопровождением инвестиционных проектов;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color w:val="000000" w:themeColor="text1"/>
          <w:sz w:val="28"/>
          <w:szCs w:val="28"/>
        </w:rPr>
        <w:t>Администрация – администрация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округа, </w:t>
      </w:r>
      <w:r>
        <w:rPr>
          <w:rFonts w:ascii="Times New Roman" w:hAnsi="Times New Roman"/>
          <w:color w:val="auto"/>
          <w:sz w:val="28"/>
          <w:szCs w:val="28"/>
        </w:rPr>
        <w:t>ответственная за сопровождение инвестиционного проекта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color w:val="000000" w:themeColor="text1"/>
          <w:sz w:val="28"/>
          <w:szCs w:val="28"/>
        </w:rPr>
        <w:t>Агентство – автономная некоммерческая организация «Агентство по привлечению инвестиций», являющаяся специализированной организацией по привлечению инвестиций и сопровождению инвестиционных проектов, реализуемых Инвесторами, отнесенными в соответствии с условиями, установленными законодательством Российской Федерации, к субъектам малого и среднего предпринимательства, сведения о которых внесены в единый реестр субъектов малого и среднего предпринимательства;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Сопровождение инвестиционных проектов – консультационное и организационное сопровождение инвестиционных проектов, реализуемых и (или) планируемых к реализации на территории Туапсинского муниципального 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округа</w:t>
      </w:r>
      <w:r>
        <w:rPr>
          <w:rFonts w:ascii="Times New Roman" w:hAnsi="Times New Roman"/>
          <w:sz w:val="28"/>
          <w:szCs w:val="28"/>
        </w:rPr>
        <w:t>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Департамент – департамент развития бизнеса и внешнеэкономической деятельности Краснодарского края, являющийся уполномоченным органом исполнительной власти Краснодарского края в области инвестиций, осуществляющий организационное, консультационное содействие </w:t>
      </w:r>
      <w:r>
        <w:rPr>
          <w:rFonts w:ascii="Times New Roman" w:hAnsi="Times New Roman"/>
          <w:color w:val="000000" w:themeColor="text1"/>
          <w:sz w:val="28"/>
          <w:szCs w:val="28"/>
        </w:rPr>
        <w:t>Инвесторам, не отнесенным в соответствии с условиями, установленными законодательством Российской Федерации, к субъектам малого и среднего предпринимательства, сведения о которых внесены в единый реестр субъектов малого и среднего предпринимательства;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color w:val="auto"/>
          <w:sz w:val="28"/>
          <w:szCs w:val="28"/>
        </w:rPr>
        <w:t>Куратор – ответственное лицо администрации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</w:t>
      </w:r>
      <w:r>
        <w:rPr>
          <w:rFonts w:ascii="Times New Roman" w:hAnsi="Times New Roman"/>
          <w:color w:val="auto"/>
          <w:sz w:val="28"/>
          <w:szCs w:val="28"/>
        </w:rPr>
        <w:t xml:space="preserve"> муниципального округа за сопровождение инвестиционного проекта, реализуемого и (или) планируемого к реализации инвестиционного проекта </w:t>
      </w:r>
      <w:r>
        <w:rPr>
          <w:rFonts w:ascii="Times New Roman" w:hAnsi="Times New Roman"/>
          <w:sz w:val="28"/>
          <w:szCs w:val="28"/>
        </w:rPr>
        <w:t>на территории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 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Реализуемый инвестиционный проект – инвестиционный проект, в рамках реализации которого осуществляются капитальные вложения на территории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при выполнении мероприятий по строительству, закупке основных материалов и средств;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Планируемый к реализации инвестиционный проект – инвестиционный проект, в целях реализации которого требуется осуществление мероприятий, связанных с подбором инвестиционно-привлекательных земельных участков для реализации проекта на </w:t>
      </w:r>
      <w:bookmarkStart w:id="0" w:name="__DdeLink__5809_1412326106"/>
      <w:r>
        <w:rPr>
          <w:rFonts w:ascii="Times New Roman" w:hAnsi="Times New Roman"/>
          <w:sz w:val="28"/>
          <w:szCs w:val="28"/>
        </w:rPr>
        <w:t>территор</w:t>
      </w:r>
      <w:bookmarkEnd w:id="0"/>
      <w:r>
        <w:rPr>
          <w:rFonts w:ascii="Times New Roman" w:hAnsi="Times New Roman"/>
          <w:sz w:val="28"/>
          <w:szCs w:val="28"/>
        </w:rPr>
        <w:t>ии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1" w:name="__DdeLink__1780_526925397"/>
      <w:r>
        <w:rPr>
          <w:rFonts w:ascii="Times New Roman" w:hAnsi="Times New Roman"/>
          <w:sz w:val="28"/>
          <w:szCs w:val="28"/>
        </w:rPr>
        <w:t>муниципального</w:t>
      </w:r>
      <w:bookmarkEnd w:id="1"/>
      <w:r>
        <w:rPr>
          <w:rFonts w:ascii="Times New Roman" w:hAnsi="Times New Roman"/>
          <w:sz w:val="28"/>
          <w:szCs w:val="28"/>
        </w:rPr>
        <w:t xml:space="preserve"> округа.</w:t>
      </w:r>
    </w:p>
    <w:p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ind w:firstLine="709"/>
        <w:jc w:val="center"/>
        <w:rPr/>
      </w:pPr>
      <w:r>
        <w:rPr>
          <w:rFonts w:ascii="Times New Roman" w:hAnsi="Times New Roman"/>
          <w:sz w:val="28"/>
          <w:szCs w:val="28"/>
        </w:rPr>
        <w:t>3. Форма и цели Сопровождения инвестиционных проектов</w:t>
      </w:r>
    </w:p>
    <w:p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Сопровождение инвестиционных проектов осуществляется в форме консультационного и организационного содействия Инвестору, направленного на реализацию инвестиционного проекта и достижение Инвестором следующих целей: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своевременное получение Инвестором в установленном законодательством порядке необходимых согласований и разрешений, требуемых для реализации инвестиционного проекта;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оперативную организацию переговоров, встреч, совещаний, консультаций, направленных на решение вопросов, возникающих в процессе реализации инвестиционного проекта.</w:t>
      </w:r>
    </w:p>
    <w:p>
      <w:pPr>
        <w:pStyle w:val="NoSpacing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NoSpacing"/>
        <w:ind w:firstLine="709"/>
        <w:jc w:val="center"/>
        <w:rPr/>
      </w:pPr>
      <w:r>
        <w:rPr>
          <w:rFonts w:ascii="Times New Roman" w:hAnsi="Times New Roman"/>
          <w:sz w:val="28"/>
          <w:szCs w:val="28"/>
        </w:rPr>
        <w:t>4. Способ и место Сопровождения инвестиционных проектов</w:t>
      </w:r>
    </w:p>
    <w:p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Сопровождение инвестиционных проектов оказывается Администрацией Инвестору в рабочее время Администрации следующими способами: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посредством личного обращения Инвестора/представителя Инвестора непосредственно по месту нахождения Администрации; 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посредством информационно-телекоммуникационной сети «Интернет», в том числе с использованием электронной почты ecotuapregion@mail.ru и иных мессенджеров;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посредством телефонной связи;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посредством обращения Инвестора/представителя Инвестора с использованием почтовых ресурсов (Почта России, курьерские службы) по адресу: 352800, Краснодарский край, г. Туапсе, ул. Свободы, 3 каб. 64. </w:t>
      </w:r>
    </w:p>
    <w:p>
      <w:pPr>
        <w:pStyle w:val="Normal"/>
        <w:ind w:firstLine="709"/>
        <w:rPr/>
      </w:pPr>
      <w:r>
        <w:rPr>
          <w:rFonts w:ascii="Times New Roman" w:hAnsi="Times New Roman"/>
          <w:sz w:val="28"/>
          <w:szCs w:val="28"/>
        </w:rPr>
        <w:t>4.2. График работы Администрации: понедельник - пятница - рабочие дни; суббота, воскресенье - выходные дни.</w:t>
      </w:r>
    </w:p>
    <w:p>
      <w:pPr>
        <w:pStyle w:val="Normal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>
      <w:pPr>
        <w:pStyle w:val="NoSpacing"/>
        <w:ind w:firstLine="709"/>
        <w:jc w:val="center"/>
        <w:rPr/>
      </w:pPr>
      <w:r>
        <w:rPr>
          <w:rFonts w:ascii="Times New Roman" w:hAnsi="Times New Roman"/>
          <w:sz w:val="28"/>
          <w:szCs w:val="28"/>
        </w:rPr>
        <w:t>5. Срок Сопровождения инвестиционных проектов</w:t>
      </w:r>
    </w:p>
    <w:p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5.1</w:t>
      </w:r>
      <w:r>
        <w:rPr>
          <w:rFonts w:ascii="Times New Roman" w:hAnsi="Times New Roman"/>
          <w:color w:val="FF0000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Начало Сопровождения инвестиционных проектов исчисляется с даты обращения Инвестора в Администрацию. 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color w:val="000000" w:themeColor="text1"/>
          <w:sz w:val="28"/>
          <w:szCs w:val="28"/>
        </w:rPr>
        <w:t>Дата окончания Сопровождения инвестиционных проектов определяется в момент завершения реализации инвестиционных проектов (ввод объектов в эксплуатацию, иные формы завершения проектов).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5.2. </w:t>
      </w:r>
      <w:r>
        <w:rPr>
          <w:rFonts w:ascii="Times New Roman" w:hAnsi="Times New Roman"/>
          <w:color w:val="000000" w:themeColor="text1"/>
          <w:sz w:val="28"/>
          <w:szCs w:val="28"/>
        </w:rPr>
        <w:t>Срок реализации инвестиционного проекта определяется по согласованию с Инвестором в соответствии с регламентными сроками прохождения процедур, необходимых в рамках реализации инвестиционного проекта.</w:t>
      </w:r>
    </w:p>
    <w:p>
      <w:pPr>
        <w:pStyle w:val="NoSpacing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 w:val="28"/>
          <w:szCs w:val="28"/>
        </w:rPr>
        <w:t>Изменение сроков реализации инвестиционного проекта оформляется путем внесения корректировок в «дорожную карту» проекта.</w:t>
      </w:r>
    </w:p>
    <w:p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ind w:firstLine="709"/>
        <w:jc w:val="center"/>
        <w:rPr/>
      </w:pPr>
      <w:r>
        <w:rPr>
          <w:rFonts w:ascii="Times New Roman" w:hAnsi="Times New Roman"/>
          <w:sz w:val="28"/>
          <w:szCs w:val="28"/>
        </w:rPr>
        <w:t>6. Процедура оказания Сопровождения инвестиционных проектов</w:t>
      </w:r>
    </w:p>
    <w:p>
      <w:pPr>
        <w:pStyle w:val="NoSpacing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6.1. В целях получения Сопровождения инвестиционных проектов Инвестор/Представитель Инвестора обращается в Администрацию.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6.2. В рамках Сопровождения инвестиционных проектов Инвестор/Представитель Инвестора обязуется: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в течение 10 рабочих дней с момента получения от Администрации письма о контактных данных Куратора инвестиционного проекта в рамках разработки плана-графика («дорожной карты») своевременно предоставить Администрации достоверную и полную информацию об инвестиционном проекте;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в течение всего срока Сопровождения инвестиционных проектов по запросу Администрации, переданному любым доступным способом связи, предоставлять Куратору необходимую для Сопровождения инвестиционных проектов информацию и материалы, в срок не более 15 рабочих дней с даты получения соответствующего запроса;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в случае изменения сроков реализации инвестиционного проекта направить в адрес Администрации письменное обращение, содержащее сведения о таком изменении. (обращение об изменении сроков может быть направлено Инвестором в адрес Администрации любым доступным способом связи);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направить в Администрацию сведения о признании Инвестора банкротом либо о ликвидации Инвестора в качестве юридического лица.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6.3. В рамках Сопровождения инвестиционных проектов Инвестор/Представитель Инвестора имеет право: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посещать, в том числе в сопровождении Куратора, инвестиционные площадки, в том числе выбранные из Единой системы инвестиционных предложений Краснодарского края (далее – Единая система);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участвовать в сопровождении Куратора в совещаниях, встречах и переговорах.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6.4. Ответственность за полноту и достоверность представленных Инвестором исходных данных, расчетов, обоснований, информации несет Инвестор.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6.5. Администрация после поступления обращения от Инвестора, обязуется: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в течение 3 рабочих дней со дня обращения Инвестора направить Инвестору письмо с указанием контактных данных Куратора, (письмо может быть отправлено по адресу электронной почты Инвестора, по факсу, с использованием почтовых ресурсов, либо передано под роспись Представителю Инвестора);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в течение 3 рабочих дней с даты получения обращения о сопровождении внести информацию об инвестиционном проекте в Перечень инвестиционных проектов, реализуемых и (или) планируемых к реализации инвестиционных проектов на территории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(форма - приложение 1 к настоящему Регламенту);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в течение 20 рабочих дней с даты обращения Инвестора о сопровождении совместно с Инвестором/Представителем Инвестора, Агентством или Департаментом разработать план-график («дорожную карту») реализации инвестиционного проекта, оформленный по образцу, согласно приложению 2 к настоящему Регламенту, и направить Инвестору для сведения;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осуществлять мониторинг реализации сопровождаемого инвестиционного проекта и направлять необходимые данные в Агентство или Департамент;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организовать получение выписки из Единого государственного реестра недвижимости об объекте недвижимости (далее выписка из ЕГРН) в отношении земельного (ых) участка (ов), на территории которого (ых) планируется реализация инвестиционного проекта.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6.6. Куратор организует рабочую встречу с Инвестором/Представителем Инвестора, Агентством или Департаментом любым удобным сторонам способом с целью презентации инвестиционного проекта и (или) обсуждения проблемных вопросов и форм </w:t>
      </w:r>
      <w:bookmarkStart w:id="2" w:name="__DdeLink__906_4068860017"/>
      <w:r>
        <w:rPr>
          <w:rFonts w:ascii="Times New Roman" w:hAnsi="Times New Roman"/>
          <w:sz w:val="28"/>
          <w:szCs w:val="28"/>
        </w:rPr>
        <w:t>Сопровожден</w:t>
      </w:r>
      <w:bookmarkEnd w:id="2"/>
      <w:r>
        <w:rPr>
          <w:rFonts w:ascii="Times New Roman" w:hAnsi="Times New Roman"/>
          <w:sz w:val="28"/>
          <w:szCs w:val="28"/>
        </w:rPr>
        <w:t>ия инвестиционного проекта. При необходимости составляется протокол по результатам встречи с указанием дальнейших мероприятий в рамках Сопровождения инвестиционного проекта.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В случае если встреча не требуется, либо после личной встречи и презентации требуется дополнительный анализ материалов инвестиционного проекта, Куратор совместно с Агентством или Департаментом запрашивает у Инвестора информацию, необходимую для осуществления дальнейшего Сопровождения инвестиционного проекта.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6.7. Куратор в рамках Сопровождения инвестиционных проектов: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осуществляет текущее консультирование в ходе реализации проекта;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предоставляет Инвестору информацию, необходимую для реализации инвестиционного проекта;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осуществляет совместно с Агентством или Департаментом подбор инвестиционной площадки, в том числе из Единой системы, соответствующей критериям Инвестора;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в согласованные с заинтересованными лицами сроки организует прием и сопровождение Инвестора/Представителя Инвестора совместно с Агентством или Департаментом (при необходимости) на территории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с целью посещения инвестиционных площадок, проведение совещаний и переговоров;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получает информацию о соответствии (несоответствии) возможного использования земельного участка утвержденным документам территориального планирования и градостроительного зонирования (с графическими выкопировками в цветном виде);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color w:val="000000" w:themeColor="text1"/>
          <w:sz w:val="28"/>
          <w:szCs w:val="28"/>
        </w:rPr>
        <w:t>осуществляет оформление и направление необходимых запросов по вопросам предоставления информации о земельных участках (промышленных площадках);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color w:val="000000" w:themeColor="text1"/>
          <w:sz w:val="28"/>
          <w:szCs w:val="28"/>
        </w:rPr>
        <w:t>содействует Инвесторам совместно с Агентством и/или Департаментом в подборе земельных участков для реализации инвестиционных проектов;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color w:val="000000" w:themeColor="text1"/>
          <w:sz w:val="28"/>
          <w:szCs w:val="28"/>
        </w:rPr>
        <w:t>оказывает информационно-консультационное содействие Инвесторам совместно с Агентством и/или Департаментом по вопросам оформления земельно-правовой документации;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color w:val="000000" w:themeColor="text1"/>
          <w:sz w:val="28"/>
          <w:szCs w:val="28"/>
        </w:rPr>
        <w:t>осуществляет мониторинг причин отклонения целевых сроков реализации каждого инвестиционного этапа, предусмотренного «дорожной картой» и ежеквартально до 10 числа месяца, следующего за отчетным периодом готовит отчет по показателям в соответствии с пунктом 3.4 приказа департамента развития бизнеса и внешнеэкономической деятельности Краснодарского края от 5 февраля 2024 г. № 27 «Об утверждении методических рекомендаций по обеспечению условий для благоприятного инвестиционного климата в городских округах и муниципальных районах Краснодарского края».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6.8. Куратор до принятия окончательного решения о выборе места размещения, планируемого к реализации инвестиционного проекта в рабочем режиме на постоянной основе осуществляет взаимодействие с Инвестором/Представителем Инвестора и предоставляет необходимую дополнительную информацию в пределах компетенции по запросам Инвестора, полученным в письменном виде, посредством телефонных переговоров либо при личной встрече с Инвестором.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6.9. 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кончание Сопровождения инвестиционных проектов Администрацией определяется в момент завершения реализации инвестиционных проектов (ввод объектов в эксплуатацию, иные формы завершения проектов). 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6.10. Проведение подготовительных, согласительных и разрешительных процедур в территориальных органах федеральных органов государственной власти, органах исполнительной власти края и органах местного самоуправления осуществляется в соответствии с административными регламентами указанных органов, утвержденными в соответствии с действующим законодательством.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6.11. </w:t>
      </w:r>
      <w:bookmarkStart w:id="3" w:name="__DdeLink__1035_1179244294"/>
      <w:r>
        <w:rPr>
          <w:rFonts w:ascii="Times New Roman" w:hAnsi="Times New Roman"/>
          <w:sz w:val="28"/>
          <w:szCs w:val="28"/>
        </w:rPr>
        <w:t>Сопровожден</w:t>
      </w:r>
      <w:bookmarkEnd w:id="3"/>
      <w:r>
        <w:rPr>
          <w:rFonts w:ascii="Times New Roman" w:hAnsi="Times New Roman"/>
          <w:sz w:val="28"/>
          <w:szCs w:val="28"/>
        </w:rPr>
        <w:t>ие инвестиционных проектов для Инвестора осуществляется бесплатно.</w:t>
      </w:r>
    </w:p>
    <w:p>
      <w:pPr>
        <w:pStyle w:val="NoSpacing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6.12. В случае необходимости привлечения для выполнения мероприятий по реализации инвестиционного проекта сторонних экспертов, оплата услуг таких экспертов производится за счет Инвестора.</w:t>
      </w:r>
    </w:p>
    <w:p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экономического</w:t>
      </w:r>
    </w:p>
    <w:p>
      <w:pPr>
        <w:pStyle w:val="Normal"/>
        <w:rPr/>
      </w:pPr>
      <w:r>
        <w:rPr>
          <w:rFonts w:ascii="Times New Roman" w:hAnsi="Times New Roman"/>
          <w:sz w:val="28"/>
          <w:szCs w:val="28"/>
        </w:rPr>
        <w:t>развития администрации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</w:t>
      </w:r>
    </w:p>
    <w:p>
      <w:pPr>
        <w:sectPr>
          <w:type w:val="nextPage"/>
          <w:pgSz w:w="11906" w:h="16838"/>
          <w:pgMar w:left="1701" w:right="707" w:header="0" w:top="1305" w:footer="0" w:bottom="851" w:gutter="0"/>
          <w:pgNumType w:fmt="decimal"/>
          <w:formProt w:val="false"/>
          <w:textDirection w:val="lrTb"/>
          <w:docGrid w:type="default" w:linePitch="354" w:charSpace="0"/>
        </w:sectPr>
        <w:pStyle w:val="Normal"/>
        <w:rPr/>
      </w:pPr>
      <w:r>
        <w:rPr>
          <w:rFonts w:ascii="Times New Roman" w:hAnsi="Times New Roman"/>
          <w:sz w:val="28"/>
          <w:szCs w:val="28"/>
        </w:rPr>
        <w:t>муниципального округа                                                               М.А. Стамбольжи</w:t>
      </w:r>
    </w:p>
    <w:tbl>
      <w:tblPr>
        <w:tblW w:w="1540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11"/>
        <w:gridCol w:w="595"/>
        <w:gridCol w:w="227"/>
        <w:gridCol w:w="2001"/>
        <w:gridCol w:w="1068"/>
        <w:gridCol w:w="833"/>
        <w:gridCol w:w="546"/>
        <w:gridCol w:w="1056"/>
        <w:gridCol w:w="1379"/>
        <w:gridCol w:w="1445"/>
        <w:gridCol w:w="818"/>
        <w:gridCol w:w="431"/>
        <w:gridCol w:w="1299"/>
        <w:gridCol w:w="1851"/>
        <w:gridCol w:w="193"/>
        <w:gridCol w:w="881"/>
        <w:gridCol w:w="40"/>
        <w:gridCol w:w="229"/>
      </w:tblGrid>
      <w:tr>
        <w:trPr/>
        <w:tc>
          <w:tcPr>
            <w:tcW w:w="5781" w:type="dxa"/>
            <w:gridSpan w:val="7"/>
            <w:tcBorders/>
            <w:shd w:color="auto" w:fill="auto" w:val="clear"/>
          </w:tcPr>
          <w:p>
            <w:pPr>
              <w:pStyle w:val="NoSpacing"/>
              <w:pageBreakBefore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</w:t>
            </w:r>
          </w:p>
        </w:tc>
        <w:tc>
          <w:tcPr>
            <w:tcW w:w="5129" w:type="dxa"/>
            <w:gridSpan w:val="5"/>
            <w:tcBorders/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4264" w:type="dxa"/>
            <w:gridSpan w:val="5"/>
            <w:tcBorders/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Приложение 1</w:t>
            </w:r>
          </w:p>
          <w:p>
            <w:pPr>
              <w:pStyle w:val="NoSpacing"/>
              <w:spacing w:lineRule="auto" w:line="240"/>
              <w:rPr/>
            </w:pPr>
            <w:r>
              <w:rPr>
                <w:rFonts w:ascii="Times New Roman" w:hAnsi="Times New Roman"/>
                <w:szCs w:val="22"/>
              </w:rPr>
              <w:t xml:space="preserve">к Регламенту консультационного и организационного сопровождения инвестиционных проектов, реализуемых и (или) планируемых к реализации на территории 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Туапсинск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6"/>
                <w:szCs w:val="26"/>
                <w:lang w:val="ru-RU" w:eastAsia="ru-RU" w:bidi="ar-SA"/>
              </w:rPr>
              <w:t>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229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578" w:hRule="atLeast"/>
        </w:trPr>
        <w:tc>
          <w:tcPr>
            <w:tcW w:w="1106" w:type="dxa"/>
            <w:gridSpan w:val="2"/>
            <w:tcBorders/>
            <w:shd w:color="auto" w:fill="FFFFFF" w:val="clear"/>
          </w:tcPr>
          <w:p>
            <w:pPr>
              <w:pStyle w:val="NoSpacing"/>
              <w:rPr>
                <w:rFonts w:ascii="Times New Roman" w:hAnsi="Times New Roman"/>
                <w:b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</w:r>
          </w:p>
        </w:tc>
        <w:tc>
          <w:tcPr>
            <w:tcW w:w="13147" w:type="dxa"/>
            <w:gridSpan w:val="13"/>
            <w:tcBorders/>
            <w:shd w:color="auto" w:fill="FFFFFF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</w:r>
          </w:p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</w:r>
          </w:p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ПЕРЕЧЕНЬ</w:t>
            </w:r>
          </w:p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b/>
                <w:szCs w:val="22"/>
              </w:rPr>
              <w:t xml:space="preserve">инвестиционных проектов, на территории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Туапсинск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kern w:val="0"/>
                <w:sz w:val="26"/>
                <w:szCs w:val="26"/>
                <w:lang w:val="ru-RU" w:eastAsia="ru-RU" w:bidi="ar-SA"/>
              </w:rPr>
              <w:t>ого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921" w:type="dxa"/>
            <w:gridSpan w:val="2"/>
            <w:tcBorders/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29" w:type="dxa"/>
            <w:tcBorders/>
            <w:shd w:color="auto" w:fill="auto" w:val="clear"/>
          </w:tcPr>
          <w:p>
            <w:pPr>
              <w:pStyle w:val="Norm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525" w:hRule="atLeast"/>
        </w:trPr>
        <w:tc>
          <w:tcPr>
            <w:tcW w:w="511" w:type="dxa"/>
            <w:tcBorders/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822" w:type="dxa"/>
            <w:gridSpan w:val="2"/>
            <w:tcBorders>
              <w:bottom w:val="single" w:sz="4" w:space="0" w:color="000000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001" w:type="dxa"/>
            <w:tcBorders/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1068" w:type="dxa"/>
            <w:tcBorders/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833" w:type="dxa"/>
            <w:tcBorders/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1602" w:type="dxa"/>
            <w:gridSpan w:val="2"/>
            <w:tcBorders/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1379" w:type="dxa"/>
            <w:tcBorders/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818" w:type="dxa"/>
            <w:tcBorders/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1730" w:type="dxa"/>
            <w:gridSpan w:val="2"/>
            <w:tcBorders/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1851" w:type="dxa"/>
            <w:tcBorders/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1074" w:type="dxa"/>
            <w:gridSpan w:val="2"/>
            <w:tcBorders/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69" w:type="dxa"/>
            <w:gridSpan w:val="2"/>
            <w:tcBorders/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90" w:hRule="atLeast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8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Дата обра-щения инвес-тора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Наиме-нование заявителя/инвесто-ра, ИНН</w:t>
            </w:r>
          </w:p>
        </w:tc>
        <w:tc>
          <w:tcPr>
            <w:tcW w:w="1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Контакт-ное лицо от инвес-тора</w:t>
            </w:r>
          </w:p>
        </w:tc>
        <w:tc>
          <w:tcPr>
            <w:tcW w:w="8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Срок реали-зации</w:t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Наименование инвестицион-ного проекта</w:t>
            </w:r>
          </w:p>
        </w:tc>
        <w:tc>
          <w:tcPr>
            <w:tcW w:w="1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инвестиций, млн.руб.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Объем капитальных вложений, млн.руб.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Адрес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Адрес земельного участка, на котором планируется реализация инвестиционно-го проекта</w:t>
            </w:r>
          </w:p>
        </w:tc>
        <w:tc>
          <w:tcPr>
            <w:tcW w:w="1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Стадия реализации инвестиционного проекта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Куратор (ФИО, контакт-ные данные)</w:t>
            </w:r>
          </w:p>
        </w:tc>
        <w:tc>
          <w:tcPr>
            <w:tcW w:w="269" w:type="dxa"/>
            <w:gridSpan w:val="2"/>
            <w:tcBorders/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4" w:hRule="atLeast"/>
        </w:trPr>
        <w:tc>
          <w:tcPr>
            <w:tcW w:w="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60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73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0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69" w:type="dxa"/>
            <w:gridSpan w:val="2"/>
            <w:tcBorders/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068" w:type="dxa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833" w:type="dxa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60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73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851" w:type="dxa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0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69" w:type="dxa"/>
            <w:gridSpan w:val="2"/>
            <w:tcBorders/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5" w:hRule="atLeast"/>
        </w:trPr>
        <w:tc>
          <w:tcPr>
            <w:tcW w:w="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068" w:type="dxa"/>
            <w:tcBorders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8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0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3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0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9" w:type="dxa"/>
            <w:gridSpan w:val="2"/>
            <w:tcBorders/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5" w:hRule="atLeast"/>
        </w:trPr>
        <w:tc>
          <w:tcPr>
            <w:tcW w:w="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068" w:type="dxa"/>
            <w:tcBorders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8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0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3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0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9" w:type="dxa"/>
            <w:gridSpan w:val="2"/>
            <w:tcBorders/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5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</w:p>
        </w:tc>
        <w:tc>
          <w:tcPr>
            <w:tcW w:w="8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068" w:type="dxa"/>
            <w:tcBorders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83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0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73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8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0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  <w:b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69" w:type="dxa"/>
            <w:gridSpan w:val="2"/>
            <w:tcBorders/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/>
      </w:pPr>
      <w:r>
        <w:rPr>
          <w:rFonts w:ascii="Times New Roman" w:hAnsi="Times New Roman"/>
          <w:sz w:val="28"/>
          <w:szCs w:val="28"/>
        </w:rPr>
        <w:t>Начальник управления экономического</w:t>
      </w:r>
    </w:p>
    <w:p>
      <w:pPr>
        <w:pStyle w:val="Normal"/>
        <w:rPr/>
      </w:pPr>
      <w:r>
        <w:rPr>
          <w:rFonts w:ascii="Times New Roman" w:hAnsi="Times New Roman"/>
          <w:sz w:val="28"/>
          <w:szCs w:val="28"/>
        </w:rPr>
        <w:t>развития администрации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</w:t>
      </w:r>
    </w:p>
    <w:p>
      <w:pPr>
        <w:sectPr>
          <w:headerReference w:type="default" r:id="rId2"/>
          <w:type w:val="nextPage"/>
          <w:pgSz w:orient="landscape" w:w="16838" w:h="11906"/>
          <w:pgMar w:left="851" w:right="567" w:header="0" w:top="1701" w:footer="0" w:bottom="709" w:gutter="0"/>
          <w:pgNumType w:fmt="decimal"/>
          <w:formProt w:val="false"/>
          <w:textDirection w:val="lrTb"/>
          <w:docGrid w:type="default" w:linePitch="100" w:charSpace="0"/>
        </w:sectPr>
        <w:pStyle w:val="Normal"/>
        <w:rPr/>
      </w:pPr>
      <w:r>
        <w:rPr>
          <w:rFonts w:ascii="Times New Roman" w:hAnsi="Times New Roman"/>
          <w:sz w:val="28"/>
          <w:szCs w:val="28"/>
        </w:rPr>
        <w:t>муниципального округа                                                                                                                                                М.А. Стамбольжи</w:t>
      </w:r>
    </w:p>
    <w:tbl>
      <w:tblPr>
        <w:tblW w:w="151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71"/>
        <w:gridCol w:w="1784"/>
        <w:gridCol w:w="1532"/>
        <w:gridCol w:w="289"/>
        <w:gridCol w:w="284"/>
        <w:gridCol w:w="289"/>
        <w:gridCol w:w="285"/>
        <w:gridCol w:w="289"/>
        <w:gridCol w:w="286"/>
        <w:gridCol w:w="289"/>
        <w:gridCol w:w="284"/>
        <w:gridCol w:w="289"/>
        <w:gridCol w:w="395"/>
        <w:gridCol w:w="395"/>
        <w:gridCol w:w="395"/>
        <w:gridCol w:w="33"/>
        <w:gridCol w:w="253"/>
        <w:gridCol w:w="288"/>
        <w:gridCol w:w="285"/>
        <w:gridCol w:w="285"/>
        <w:gridCol w:w="286"/>
        <w:gridCol w:w="289"/>
        <w:gridCol w:w="286"/>
        <w:gridCol w:w="285"/>
        <w:gridCol w:w="289"/>
        <w:gridCol w:w="395"/>
        <w:gridCol w:w="395"/>
        <w:gridCol w:w="81"/>
        <w:gridCol w:w="314"/>
        <w:gridCol w:w="70"/>
        <w:gridCol w:w="215"/>
        <w:gridCol w:w="285"/>
        <w:gridCol w:w="286"/>
        <w:gridCol w:w="286"/>
        <w:gridCol w:w="289"/>
        <w:gridCol w:w="285"/>
        <w:gridCol w:w="286"/>
        <w:gridCol w:w="289"/>
        <w:gridCol w:w="287"/>
        <w:gridCol w:w="395"/>
        <w:gridCol w:w="395"/>
        <w:gridCol w:w="506"/>
      </w:tblGrid>
      <w:tr>
        <w:trPr/>
        <w:tc>
          <w:tcPr>
            <w:tcW w:w="11006" w:type="dxa"/>
            <w:gridSpan w:val="28"/>
            <w:tcBorders/>
            <w:shd w:color="auto" w:fill="auto" w:val="clear"/>
          </w:tcPr>
          <w:p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</w:t>
            </w:r>
            <w:bookmarkStart w:id="4" w:name="_GoBack"/>
            <w:bookmarkEnd w:id="4"/>
          </w:p>
        </w:tc>
        <w:tc>
          <w:tcPr>
            <w:tcW w:w="4188" w:type="dxa"/>
            <w:gridSpan w:val="14"/>
            <w:tcBorders/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Cs w:val="26"/>
              </w:rPr>
              <w:t>Приложение 2</w:t>
            </w:r>
          </w:p>
          <w:p>
            <w:pPr>
              <w:pStyle w:val="Appleconvertedspace1"/>
              <w:spacing w:lineRule="auto" w:line="240" w:before="0" w:after="0"/>
              <w:rPr/>
            </w:pPr>
            <w:r>
              <w:rPr>
                <w:rFonts w:ascii="Times New Roman" w:hAnsi="Times New Roman"/>
                <w:szCs w:val="26"/>
              </w:rPr>
              <w:t xml:space="preserve">к Регламенту консультационного и организационного сопровождения инвестиционных проектов, реализуемых и (или) планируемых к реализации на территории </w:t>
            </w:r>
            <w:r>
              <w:rPr>
                <w:rFonts w:ascii="Times New Roman" w:hAnsi="Times New Roman"/>
                <w:sz w:val="26"/>
                <w:szCs w:val="26"/>
              </w:rPr>
              <w:t>Туапсинск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6"/>
                <w:szCs w:val="26"/>
                <w:lang w:val="ru-RU" w:eastAsia="ru-RU" w:bidi="ar-SA"/>
              </w:rPr>
              <w:t>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</w:t>
            </w:r>
          </w:p>
        </w:tc>
      </w:tr>
      <w:tr>
        <w:trPr>
          <w:trHeight w:val="1842" w:hRule="atLeast"/>
        </w:trPr>
        <w:tc>
          <w:tcPr>
            <w:tcW w:w="15194" w:type="dxa"/>
            <w:gridSpan w:val="42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/>
            </w:pPr>
            <w:r>
              <w:rPr/>
            </w:r>
            <w:bookmarkStart w:id="5" w:name="RANGE!A1%25252525252525252525252525253AA"/>
            <w:bookmarkStart w:id="6" w:name="RANGE!A1%25252525252525252525252525253AA"/>
          </w:p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ПЛАН-ГРАФИК</w:t>
            </w:r>
          </w:p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(«дорожная карта») реализации инвестиционного проекта </w:t>
              <w:br/>
              <w:br/>
              <w:t>_______________________________________                ____</w:t>
            </w:r>
            <w:r>
              <w:rPr>
                <w:rFonts w:ascii="Times New Roman" w:hAnsi="Times New Roman"/>
              </w:rPr>
              <w:t>_____________________</w:t>
            </w:r>
            <w:r>
              <w:rPr>
                <w:rFonts w:ascii="Times New Roman" w:hAnsi="Times New Roman"/>
                <w:b/>
              </w:rPr>
              <w:t xml:space="preserve">____ </w:t>
              <w:br/>
              <w:t xml:space="preserve">                </w:t>
            </w:r>
            <w:r>
              <w:rPr>
                <w:rFonts w:ascii="Times New Roman" w:hAnsi="Times New Roman"/>
              </w:rPr>
              <w:t xml:space="preserve">(дата)        </w:t>
            </w:r>
            <w:r>
              <w:rPr>
                <w:rFonts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ascii="Times New Roman" w:hAnsi="Times New Roman"/>
              </w:rPr>
              <w:t xml:space="preserve"> (инвестор</w:t>
            </w:r>
            <w:bookmarkEnd w:id="6"/>
            <w:r>
              <w:rPr>
                <w:rFonts w:ascii="Times New Roman" w:hAnsi="Times New Roman"/>
              </w:rPr>
              <w:t>)</w:t>
            </w:r>
          </w:p>
        </w:tc>
      </w:tr>
      <w:tr>
        <w:trPr>
          <w:trHeight w:val="459" w:hRule="atLeast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ind w:left="-92" w:right="-88" w:hanging="0"/>
              <w:jc w:val="center"/>
              <w:rPr/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ind w:left="-92" w:right="-88" w:hanging="0"/>
              <w:jc w:val="center"/>
              <w:rPr/>
            </w:pPr>
            <w:r>
              <w:rPr>
                <w:rFonts w:ascii="Times New Roman" w:hAnsi="Times New Roman"/>
              </w:rPr>
              <w:t>Наименование этапа/ мероприятия</w:t>
            </w: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ind w:left="-92" w:right="-88" w:hanging="0"/>
              <w:jc w:val="center"/>
              <w:rPr/>
            </w:pPr>
            <w:r>
              <w:rPr>
                <w:rFonts w:ascii="Times New Roman" w:hAnsi="Times New Roman"/>
              </w:rPr>
              <w:t>Ответст-венный исполнитель</w:t>
            </w:r>
          </w:p>
        </w:tc>
        <w:tc>
          <w:tcPr>
            <w:tcW w:w="380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ind w:left="-92" w:right="-88" w:hanging="0"/>
              <w:jc w:val="center"/>
              <w:rPr/>
            </w:pPr>
            <w:r>
              <w:rPr>
                <w:rFonts w:ascii="Times New Roman" w:hAnsi="Times New Roman"/>
              </w:rPr>
              <w:t xml:space="preserve">20__ год  </w:t>
              <w:br/>
              <w:t>(месяцы)</w:t>
            </w:r>
          </w:p>
        </w:tc>
        <w:tc>
          <w:tcPr>
            <w:tcW w:w="380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ind w:left="-92" w:right="-88" w:hanging="0"/>
              <w:jc w:val="center"/>
              <w:rPr/>
            </w:pPr>
            <w:r>
              <w:rPr>
                <w:rFonts w:ascii="Times New Roman" w:hAnsi="Times New Roman"/>
              </w:rPr>
              <w:t xml:space="preserve">20__ год </w:t>
              <w:br/>
              <w:t>(месяцы)</w:t>
            </w:r>
          </w:p>
        </w:tc>
        <w:tc>
          <w:tcPr>
            <w:tcW w:w="38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ind w:left="-92" w:right="-88" w:hanging="0"/>
              <w:jc w:val="center"/>
              <w:rPr/>
            </w:pPr>
            <w:r>
              <w:rPr>
                <w:rFonts w:ascii="Times New Roman" w:hAnsi="Times New Roman"/>
              </w:rPr>
              <w:t xml:space="preserve">20__ год </w:t>
              <w:br/>
              <w:t>(месяцы)</w:t>
            </w:r>
          </w:p>
        </w:tc>
      </w:tr>
      <w:tr>
        <w:trPr>
          <w:trHeight w:val="273" w:hRule="atLeast"/>
        </w:trPr>
        <w:tc>
          <w:tcPr>
            <w:tcW w:w="4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u w:val="single"/>
              </w:rPr>
            </w:pPr>
            <w:r>
              <w:rPr>
                <w:u w:val="single"/>
              </w:rPr>
            </w:r>
          </w:p>
        </w:tc>
        <w:tc>
          <w:tcPr>
            <w:tcW w:w="1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u w:val="single"/>
              </w:rPr>
            </w:pPr>
            <w:r>
              <w:rPr>
                <w:u w:val="single"/>
              </w:rPr>
            </w:r>
          </w:p>
        </w:tc>
        <w:tc>
          <w:tcPr>
            <w:tcW w:w="15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u w:val="single"/>
              </w:rPr>
            </w:pPr>
            <w:r>
              <w:rPr>
                <w:u w:val="single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left="-92" w:right="-8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>
        <w:trPr>
          <w:trHeight w:val="264" w:hRule="atLeast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26" w:hRule="atLeast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16" w:hRule="atLeast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70" w:hRule="atLeast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70" w:hRule="atLeast"/>
        </w:trPr>
        <w:tc>
          <w:tcPr>
            <w:tcW w:w="15194" w:type="dxa"/>
            <w:gridSpan w:val="4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ind w:firstLine="74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NoSpacing"/>
              <w:ind w:firstLine="74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Примечание: </w:t>
            </w:r>
          </w:p>
          <w:p>
            <w:pPr>
              <w:pStyle w:val="NoSpacing"/>
              <w:ind w:firstLine="74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в рамках дорожной карты учитывать все инвестиционные этапы реализации проекта с учетом сроков, не превышающих установленных в алгоритмах действий инвестора по инфраструктурным направлениям. 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outlineLvl w:val="0"/>
        <w:rPr/>
      </w:pPr>
      <w:r>
        <w:rPr/>
      </w:r>
      <w:bookmarkStart w:id="7" w:name="Par34"/>
      <w:bookmarkStart w:id="8" w:name="Par34"/>
      <w:bookmarkEnd w:id="8"/>
    </w:p>
    <w:p>
      <w:pPr>
        <w:pStyle w:val="Normal"/>
        <w:widowControl w:val="false"/>
        <w:numPr>
          <w:ilvl w:val="0"/>
          <w:numId w:val="0"/>
        </w:numPr>
        <w:jc w:val="left"/>
        <w:outlineLvl w:val="0"/>
        <w:rPr/>
      </w:pPr>
      <w:r>
        <w:rPr/>
      </w:r>
    </w:p>
    <w:p>
      <w:pPr>
        <w:pStyle w:val="Normal"/>
        <w:rPr/>
      </w:pPr>
      <w:r>
        <w:rPr>
          <w:rFonts w:ascii="Times New Roman" w:hAnsi="Times New Roman"/>
          <w:sz w:val="28"/>
          <w:szCs w:val="28"/>
        </w:rPr>
        <w:t>Начальник управления экономического</w:t>
      </w:r>
    </w:p>
    <w:p>
      <w:pPr>
        <w:pStyle w:val="Normal"/>
        <w:rPr/>
      </w:pPr>
      <w:r>
        <w:rPr>
          <w:rFonts w:ascii="Times New Roman" w:hAnsi="Times New Roman"/>
          <w:sz w:val="28"/>
          <w:szCs w:val="28"/>
        </w:rPr>
        <w:t>развития администрации Туапсинск</w:t>
      </w:r>
      <w:r>
        <w:rPr>
          <w:rFonts w:eastAsia="Times New Roman" w:cs="Times New Roman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ого</w:t>
      </w:r>
    </w:p>
    <w:p>
      <w:pPr>
        <w:pStyle w:val="Normal"/>
        <w:rPr/>
      </w:pPr>
      <w:r>
        <w:rPr>
          <w:rFonts w:ascii="Times New Roman" w:hAnsi="Times New Roman"/>
          <w:sz w:val="28"/>
          <w:szCs w:val="28"/>
        </w:rPr>
        <w:t>муниципального округа</w:t>
      </w:r>
      <w:bookmarkStart w:id="9" w:name="__DdeLink__6993_1412326106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М.А. Стамбольжи</w:t>
      </w:r>
      <w:bookmarkEnd w:id="9"/>
    </w:p>
    <w:sectPr>
      <w:headerReference w:type="default" r:id="rId3"/>
      <w:type w:val="nextPage"/>
      <w:pgSz w:orient="landscape" w:w="16838" w:h="11906"/>
      <w:pgMar w:left="851" w:right="567" w:header="709" w:top="1701" w:footer="0" w:bottom="709" w:gutter="0"/>
      <w:pgNumType w:fmt="decimal"/>
      <w:formProt w:val="false"/>
      <w:titlePg/>
      <w:textDirection w:val="lrTb"/>
      <w:docGrid w:type="default" w:linePitch="354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choolBook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XO Thames">
    <w:charset w:val="01"/>
    <w:family w:val="roman"/>
    <w:pitch w:val="variable"/>
  </w:font>
  <w:font w:name="Times New Roman CYR"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5"/>
      <w:ind w:right="360" w:hanging="0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 w:asciiTheme="minorHAnsi" w:hAnsiTheme="minorHAnsi"/>
        <w:color w:val="000000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link w:val="1"/>
    <w:qFormat/>
    <w:pPr>
      <w:widowControl/>
      <w:bidi w:val="0"/>
      <w:jc w:val="both"/>
    </w:pPr>
    <w:rPr>
      <w:rFonts w:ascii="SchoolBook" w:hAnsi="SchoolBook" w:eastAsia="Times New Roman" w:cs="Times New Roman"/>
      <w:color w:val="000000"/>
      <w:kern w:val="0"/>
      <w:sz w:val="26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pPr>
      <w:keepNext w:val="true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Normal"/>
    <w:next w:val="Normal"/>
    <w:uiPriority w:val="9"/>
    <w:qFormat/>
    <w:pPr>
      <w:keepNext w:val="true"/>
      <w:keepLines/>
      <w:spacing w:before="200" w:after="0"/>
      <w:outlineLvl w:val="1"/>
    </w:pPr>
    <w:rPr>
      <w:rFonts w:ascii="Cambria" w:hAnsi="Cambria" w:asciiTheme="majorHAnsi" w:hAnsiTheme="majorHAnsi"/>
      <w:b/>
      <w:color w:val="4F81BD" w:themeColor="accent1"/>
    </w:rPr>
  </w:style>
  <w:style w:type="paragraph" w:styleId="3">
    <w:name w:val="Heading 3"/>
    <w:basedOn w:val="Normal"/>
    <w:next w:val="Normal"/>
    <w:uiPriority w:val="9"/>
    <w:qFormat/>
    <w:pPr>
      <w:keepNext w:val="true"/>
      <w:keepLines/>
      <w:spacing w:before="200" w:after="0"/>
      <w:outlineLvl w:val="2"/>
    </w:pPr>
    <w:rPr>
      <w:rFonts w:ascii="Cambria" w:hAnsi="Cambria" w:asciiTheme="majorHAnsi" w:hAnsiTheme="majorHAnsi"/>
      <w:b/>
      <w:color w:val="4F81BD" w:themeColor="accent1"/>
    </w:rPr>
  </w:style>
  <w:style w:type="paragraph" w:styleId="4">
    <w:name w:val="Heading 4"/>
    <w:next w:val="Normal"/>
    <w:uiPriority w:val="9"/>
    <w:qFormat/>
    <w:pPr>
      <w:widowControl/>
      <w:bidi w:val="0"/>
      <w:spacing w:lineRule="auto" w:line="276"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5">
    <w:name w:val="Heading 5"/>
    <w:next w:val="Normal"/>
    <w:uiPriority w:val="9"/>
    <w:qFormat/>
    <w:pPr>
      <w:widowControl/>
      <w:bidi w:val="0"/>
      <w:spacing w:lineRule="auto" w:line="276"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7">
    <w:name w:val="Heading 7"/>
    <w:basedOn w:val="Normal"/>
    <w:next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 w:asciiTheme="majorHAnsi" w:hAnsiTheme="majorHAnsi"/>
      <w:i/>
      <w:color w:val="404040" w:themeColor="text1" w:themeTint="bf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11" w:customStyle="1">
    <w:name w:val="Заголовок 1 Знак1"/>
    <w:link w:val="1"/>
    <w:qFormat/>
    <w:rPr>
      <w:rFonts w:ascii="SchoolBook" w:hAnsi="SchoolBook"/>
      <w:sz w:val="26"/>
    </w:rPr>
  </w:style>
  <w:style w:type="character" w:styleId="Appleconvertedspace" w:customStyle="1">
    <w:name w:val="apple-converted-space"/>
    <w:basedOn w:val="DefaultParagraphFont"/>
    <w:qFormat/>
    <w:rPr/>
  </w:style>
  <w:style w:type="character" w:styleId="21" w:customStyle="1">
    <w:name w:val="Оглавление 2 Знак"/>
    <w:qFormat/>
    <w:rPr>
      <w:rFonts w:ascii="XO Thames" w:hAnsi="XO Thames"/>
      <w:sz w:val="28"/>
    </w:rPr>
  </w:style>
  <w:style w:type="character" w:styleId="Style8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Style9" w:customStyle="1">
    <w:name w:val="Основной текст с отступом Знак"/>
    <w:basedOn w:val="11"/>
    <w:qFormat/>
    <w:rPr>
      <w:rFonts w:ascii="SchoolBook" w:hAnsi="SchoolBook"/>
      <w:sz w:val="26"/>
    </w:rPr>
  </w:style>
  <w:style w:type="character" w:styleId="41" w:customStyle="1">
    <w:name w:val="Оглавление 4 Знак"/>
    <w:qFormat/>
    <w:rPr>
      <w:rFonts w:ascii="XO Thames" w:hAnsi="XO Thames"/>
      <w:sz w:val="28"/>
    </w:rPr>
  </w:style>
  <w:style w:type="character" w:styleId="71" w:customStyle="1">
    <w:name w:val="Оглавление 7 Знак1"/>
    <w:basedOn w:val="11"/>
    <w:link w:val="70"/>
    <w:qFormat/>
    <w:rPr>
      <w:rFonts w:ascii="Cambria" w:hAnsi="Cambria" w:asciiTheme="majorHAnsi" w:hAnsiTheme="majorHAnsi"/>
      <w:i/>
      <w:color w:val="404040" w:themeColor="text1" w:themeTint="bf"/>
      <w:sz w:val="26"/>
    </w:rPr>
  </w:style>
  <w:style w:type="character" w:styleId="Style41" w:customStyle="1">
    <w:name w:val="Style4"/>
    <w:basedOn w:val="11"/>
    <w:qFormat/>
    <w:rPr>
      <w:rFonts w:ascii="Times New Roman" w:hAnsi="Times New Roman"/>
      <w:sz w:val="24"/>
    </w:rPr>
  </w:style>
  <w:style w:type="character" w:styleId="6" w:customStyle="1">
    <w:name w:val="Оглавление 6 Знак"/>
    <w:link w:val="6"/>
    <w:qFormat/>
    <w:rPr>
      <w:rFonts w:ascii="XO Thames" w:hAnsi="XO Thames"/>
      <w:sz w:val="28"/>
    </w:rPr>
  </w:style>
  <w:style w:type="character" w:styleId="72" w:customStyle="1">
    <w:name w:val="Оглавление 7 Знак"/>
    <w:link w:val="72"/>
    <w:qFormat/>
    <w:rPr>
      <w:rFonts w:ascii="XO Thames" w:hAnsi="XO Thames"/>
      <w:sz w:val="28"/>
    </w:rPr>
  </w:style>
  <w:style w:type="character" w:styleId="FontStyle18" w:customStyle="1">
    <w:name w:val="Font Style18"/>
    <w:basedOn w:val="DefaultParagraphFont"/>
    <w:link w:val="FontStyle18"/>
    <w:qFormat/>
    <w:rPr>
      <w:rFonts w:ascii="Times New Roman" w:hAnsi="Times New Roman"/>
      <w:b/>
      <w:sz w:val="22"/>
    </w:rPr>
  </w:style>
  <w:style w:type="character" w:styleId="Style10" w:customStyle="1">
    <w:name w:val="Прижатый влево"/>
    <w:basedOn w:val="11"/>
    <w:qFormat/>
    <w:rPr>
      <w:rFonts w:ascii="Times New Roman CYR" w:hAnsi="Times New Roman CYR"/>
      <w:sz w:val="24"/>
    </w:rPr>
  </w:style>
  <w:style w:type="character" w:styleId="Style11" w:customStyle="1">
    <w:name w:val="Гипертекстовая ссылка"/>
    <w:basedOn w:val="DefaultParagraphFont"/>
    <w:qFormat/>
    <w:rPr>
      <w:color w:val="106BBE"/>
    </w:rPr>
  </w:style>
  <w:style w:type="character" w:styleId="Style12" w:customStyle="1">
    <w:name w:val="Нижний колонтитул Знак"/>
    <w:basedOn w:val="11"/>
    <w:qFormat/>
    <w:rPr>
      <w:rFonts w:ascii="SchoolBook" w:hAnsi="SchoolBook"/>
      <w:sz w:val="26"/>
    </w:rPr>
  </w:style>
  <w:style w:type="character" w:styleId="FontStyle13" w:customStyle="1">
    <w:name w:val="Font Style13"/>
    <w:basedOn w:val="DefaultParagraphFont"/>
    <w:link w:val="FontStyle13"/>
    <w:qFormat/>
    <w:rPr>
      <w:rFonts w:ascii="Times New Roman" w:hAnsi="Times New Roman"/>
      <w:sz w:val="26"/>
    </w:rPr>
  </w:style>
  <w:style w:type="character" w:styleId="211" w:customStyle="1">
    <w:name w:val="Основной текст с отступом 2 Знак1"/>
    <w:basedOn w:val="11"/>
    <w:link w:val="22"/>
    <w:qFormat/>
    <w:rPr>
      <w:rFonts w:ascii="Calibri" w:hAnsi="Calibri"/>
      <w:sz w:val="22"/>
    </w:rPr>
  </w:style>
  <w:style w:type="character" w:styleId="Style13" w:customStyle="1">
    <w:name w:val="Текст выноски Знак"/>
    <w:basedOn w:val="11"/>
    <w:qFormat/>
    <w:rPr>
      <w:rFonts w:ascii="Tahoma" w:hAnsi="Tahoma"/>
      <w:sz w:val="16"/>
    </w:rPr>
  </w:style>
  <w:style w:type="character" w:styleId="31" w:customStyle="1">
    <w:name w:val="Оглавление 3 Знак1"/>
    <w:basedOn w:val="11"/>
    <w:qFormat/>
    <w:rPr>
      <w:rFonts w:ascii="Cambria" w:hAnsi="Cambria" w:asciiTheme="majorHAnsi" w:hAnsiTheme="majorHAnsi"/>
      <w:b/>
      <w:color w:val="4F81BD" w:themeColor="accent1"/>
      <w:sz w:val="26"/>
    </w:rPr>
  </w:style>
  <w:style w:type="character" w:styleId="Style14" w:customStyle="1">
    <w:name w:val="Основной текст Знак"/>
    <w:basedOn w:val="11"/>
    <w:qFormat/>
    <w:rPr>
      <w:rFonts w:ascii="SchoolBook" w:hAnsi="SchoolBook"/>
      <w:sz w:val="26"/>
    </w:rPr>
  </w:style>
  <w:style w:type="character" w:styleId="FontStyle12" w:customStyle="1">
    <w:name w:val="Font Style12"/>
    <w:link w:val="FontStyle12"/>
    <w:qFormat/>
    <w:rPr>
      <w:rFonts w:ascii="Times New Roman" w:hAnsi="Times New Roman"/>
      <w:b/>
      <w:sz w:val="24"/>
    </w:rPr>
  </w:style>
  <w:style w:type="character" w:styleId="ConsPlusNormal" w:customStyle="1">
    <w:name w:val="ConsPlusNormal"/>
    <w:link w:val="ConsPlusNormal"/>
    <w:qFormat/>
    <w:rPr>
      <w:rFonts w:ascii="Calibri" w:hAnsi="Calibri"/>
    </w:rPr>
  </w:style>
  <w:style w:type="character" w:styleId="Style15" w:customStyle="1">
    <w:name w:val="Нормальный (таблица)"/>
    <w:basedOn w:val="11"/>
    <w:qFormat/>
    <w:rPr>
      <w:rFonts w:ascii="Times New Roman CYR" w:hAnsi="Times New Roman CYR"/>
      <w:sz w:val="24"/>
    </w:rPr>
  </w:style>
  <w:style w:type="character" w:styleId="Annotationreference">
    <w:name w:val="annotation reference"/>
    <w:qFormat/>
    <w:rPr>
      <w:sz w:val="16"/>
    </w:rPr>
  </w:style>
  <w:style w:type="character" w:styleId="22" w:customStyle="1">
    <w:name w:val="Основной текст с отступом 2 Знак"/>
    <w:basedOn w:val="11"/>
    <w:link w:val="23"/>
    <w:qFormat/>
    <w:rPr>
      <w:rFonts w:ascii="Times New Roman" w:hAnsi="Times New Roman"/>
      <w:sz w:val="25"/>
    </w:rPr>
  </w:style>
  <w:style w:type="character" w:styleId="32" w:customStyle="1">
    <w:name w:val="Оглавление 3 Знак"/>
    <w:link w:val="30"/>
    <w:qFormat/>
    <w:rPr>
      <w:rFonts w:ascii="XO Thames" w:hAnsi="XO Thames"/>
      <w:sz w:val="28"/>
    </w:rPr>
  </w:style>
  <w:style w:type="character" w:styleId="Style16" w:customStyle="1">
    <w:name w:val="Верхний колонтитул Знак"/>
    <w:basedOn w:val="11"/>
    <w:uiPriority w:val="99"/>
    <w:qFormat/>
    <w:rPr>
      <w:rFonts w:ascii="SchoolBook" w:hAnsi="SchoolBook"/>
      <w:sz w:val="26"/>
    </w:rPr>
  </w:style>
  <w:style w:type="character" w:styleId="51" w:customStyle="1">
    <w:name w:val="Оглавление 5 Знак1"/>
    <w:link w:val="50"/>
    <w:qFormat/>
    <w:rPr>
      <w:rFonts w:ascii="XO Thames" w:hAnsi="XO Thames"/>
      <w:b/>
      <w:sz w:val="22"/>
    </w:rPr>
  </w:style>
  <w:style w:type="character" w:styleId="Style17" w:customStyle="1">
    <w:name w:val="Без интервала Знак"/>
    <w:qFormat/>
    <w:rPr/>
  </w:style>
  <w:style w:type="character" w:styleId="Style18" w:customStyle="1">
    <w:name w:val="Абзац списка Знак"/>
    <w:basedOn w:val="11"/>
    <w:qFormat/>
    <w:rPr>
      <w:rFonts w:ascii="SchoolBook" w:hAnsi="SchoolBook"/>
      <w:sz w:val="26"/>
    </w:rPr>
  </w:style>
  <w:style w:type="character" w:styleId="12" w:customStyle="1">
    <w:name w:val="Заголовок 1 Знак"/>
    <w:basedOn w:val="11"/>
    <w:qFormat/>
    <w:rPr>
      <w:rFonts w:ascii="Times New Roman" w:hAnsi="Times New Roman"/>
      <w:b/>
      <w:color w:val="000000"/>
      <w:sz w:val="24"/>
    </w:rPr>
  </w:style>
  <w:style w:type="character" w:styleId="Style19" w:customStyle="1">
    <w:name w:val="Интернет-ссылка"/>
    <w:rPr>
      <w:color w:val="0000FF"/>
      <w:u w:val="single"/>
    </w:rPr>
  </w:style>
  <w:style w:type="character" w:styleId="Footnote" w:customStyle="1">
    <w:name w:val="Footnote"/>
    <w:basedOn w:val="11"/>
    <w:link w:val="Footnote"/>
    <w:qFormat/>
    <w:rPr>
      <w:rFonts w:ascii="SchoolBook" w:hAnsi="SchoolBook"/>
      <w:sz w:val="20"/>
    </w:rPr>
  </w:style>
  <w:style w:type="character" w:styleId="13" w:customStyle="1">
    <w:name w:val="Оглавление 1 Знак"/>
    <w:link w:val="12"/>
    <w:qFormat/>
    <w:rPr>
      <w:rFonts w:ascii="XO Thames" w:hAnsi="XO Thames"/>
      <w:b/>
      <w:sz w:val="28"/>
    </w:rPr>
  </w:style>
  <w:style w:type="character" w:styleId="HeaderandFooter" w:customStyle="1">
    <w:name w:val="Header and Footer"/>
    <w:link w:val="HeaderandFooter"/>
    <w:qFormat/>
    <w:rPr>
      <w:rFonts w:ascii="XO Thames" w:hAnsi="XO Thames"/>
      <w:sz w:val="20"/>
    </w:rPr>
  </w:style>
  <w:style w:type="character" w:styleId="FontStyle26" w:customStyle="1">
    <w:name w:val="Font Style26"/>
    <w:basedOn w:val="DefaultParagraphFont"/>
    <w:link w:val="FontStyle26"/>
    <w:qFormat/>
    <w:rPr>
      <w:rFonts w:ascii="Times New Roman" w:hAnsi="Times New Roman"/>
      <w:sz w:val="26"/>
    </w:rPr>
  </w:style>
  <w:style w:type="character" w:styleId="FontStyle19" w:customStyle="1">
    <w:name w:val="Font Style19"/>
    <w:basedOn w:val="DefaultParagraphFont"/>
    <w:link w:val="FontStyle19"/>
    <w:qFormat/>
    <w:rPr>
      <w:rFonts w:ascii="Times New Roman" w:hAnsi="Times New Roman"/>
      <w:sz w:val="22"/>
    </w:rPr>
  </w:style>
  <w:style w:type="character" w:styleId="ConsPlusTitle" w:customStyle="1">
    <w:name w:val="ConsPlusTitle"/>
    <w:link w:val="ConsPlusTitle"/>
    <w:qFormat/>
    <w:rPr>
      <w:rFonts w:ascii="Calibri" w:hAnsi="Calibri"/>
      <w:b/>
    </w:rPr>
  </w:style>
  <w:style w:type="character" w:styleId="Pagenumber">
    <w:name w:val="page number"/>
    <w:basedOn w:val="DefaultParagraphFont"/>
    <w:link w:val="13"/>
    <w:qFormat/>
    <w:rPr/>
  </w:style>
  <w:style w:type="character" w:styleId="Style20" w:customStyle="1">
    <w:name w:val="Таблицы (моноширинный)"/>
    <w:basedOn w:val="11"/>
    <w:qFormat/>
    <w:rPr>
      <w:rFonts w:ascii="Courier New" w:hAnsi="Courier New"/>
      <w:sz w:val="20"/>
    </w:rPr>
  </w:style>
  <w:style w:type="character" w:styleId="9" w:customStyle="1">
    <w:name w:val="Оглавление 9 Знак"/>
    <w:link w:val="9"/>
    <w:qFormat/>
    <w:rPr>
      <w:rFonts w:ascii="XO Thames" w:hAnsi="XO Thames"/>
      <w:sz w:val="28"/>
    </w:rPr>
  </w:style>
  <w:style w:type="character" w:styleId="Nowrap" w:customStyle="1">
    <w:name w:val="nowrap"/>
    <w:basedOn w:val="DefaultParagraphFont"/>
    <w:qFormat/>
    <w:rPr/>
  </w:style>
  <w:style w:type="character" w:styleId="8" w:customStyle="1">
    <w:name w:val="Оглавление 8 Знак"/>
    <w:link w:val="8"/>
    <w:qFormat/>
    <w:rPr>
      <w:rFonts w:ascii="XO Thames" w:hAnsi="XO Thames"/>
      <w:sz w:val="28"/>
    </w:rPr>
  </w:style>
  <w:style w:type="character" w:styleId="52" w:customStyle="1">
    <w:name w:val="Оглавление 5 Знак"/>
    <w:link w:val="52"/>
    <w:qFormat/>
    <w:rPr>
      <w:rFonts w:ascii="XO Thames" w:hAnsi="XO Thames"/>
      <w:sz w:val="28"/>
    </w:rPr>
  </w:style>
  <w:style w:type="character" w:styleId="Strong">
    <w:name w:val="Strong"/>
    <w:basedOn w:val="DefaultParagraphFont"/>
    <w:link w:val="14"/>
    <w:qFormat/>
    <w:rPr>
      <w:b/>
    </w:rPr>
  </w:style>
  <w:style w:type="character" w:styleId="Style21" w:customStyle="1">
    <w:name w:val="Подзаголовок Знак"/>
    <w:qFormat/>
    <w:rPr>
      <w:rFonts w:ascii="XO Thames" w:hAnsi="XO Thames"/>
      <w:i/>
      <w:sz w:val="24"/>
    </w:rPr>
  </w:style>
  <w:style w:type="character" w:styleId="Style22" w:customStyle="1">
    <w:name w:val="Название Знак"/>
    <w:qFormat/>
    <w:rPr>
      <w:rFonts w:ascii="XO Thames" w:hAnsi="XO Thames"/>
      <w:b/>
      <w:caps/>
      <w:sz w:val="40"/>
    </w:rPr>
  </w:style>
  <w:style w:type="character" w:styleId="411" w:customStyle="1">
    <w:name w:val="Оглавление 4 Знак1"/>
    <w:link w:val="42"/>
    <w:qFormat/>
    <w:rPr>
      <w:rFonts w:ascii="XO Thames" w:hAnsi="XO Thames"/>
      <w:b/>
      <w:sz w:val="24"/>
    </w:rPr>
  </w:style>
  <w:style w:type="character" w:styleId="23" w:customStyle="1">
    <w:name w:val="Заголовок 2 Знак"/>
    <w:basedOn w:val="11"/>
    <w:qFormat/>
    <w:rPr>
      <w:rFonts w:ascii="Cambria" w:hAnsi="Cambria" w:asciiTheme="majorHAnsi" w:hAnsiTheme="majorHAnsi"/>
      <w:b/>
      <w:color w:val="4F81BD" w:themeColor="accent1"/>
      <w:sz w:val="26"/>
    </w:rPr>
  </w:style>
  <w:style w:type="character" w:styleId="FontStyle33" w:customStyle="1">
    <w:name w:val="Font Style33"/>
    <w:link w:val="FontStyle33"/>
    <w:qFormat/>
    <w:rPr>
      <w:rFonts w:ascii="Times New Roman" w:hAnsi="Times New Roman"/>
      <w:sz w:val="26"/>
    </w:rPr>
  </w:style>
  <w:style w:type="character" w:styleId="221" w:customStyle="1">
    <w:name w:val="Оглавление 2 Знак2"/>
    <w:basedOn w:val="DefaultParagraphFont"/>
    <w:link w:val="25"/>
    <w:uiPriority w:val="99"/>
    <w:qFormat/>
    <w:rsid w:val="00e71436"/>
    <w:rPr>
      <w:rFonts w:ascii="Times New Roman" w:hAnsi="Times New Roman"/>
      <w:sz w:val="26"/>
    </w:rPr>
  </w:style>
  <w:style w:type="character" w:styleId="33" w:customStyle="1">
    <w:name w:val="Основной текст 3 Знак"/>
    <w:basedOn w:val="DefaultParagraphFont"/>
    <w:link w:val="32"/>
    <w:uiPriority w:val="99"/>
    <w:qFormat/>
    <w:rsid w:val="00e71436"/>
    <w:rPr>
      <w:rFonts w:ascii="Times New Roman" w:hAnsi="Times New Roman"/>
      <w:sz w:val="28"/>
      <w:szCs w:val="28"/>
    </w:rPr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24">
    <w:name w:val="Body Text"/>
    <w:basedOn w:val="Normal"/>
    <w:pPr>
      <w:spacing w:before="0" w:after="120"/>
    </w:pPr>
    <w:rPr/>
  </w:style>
  <w:style w:type="paragraph" w:styleId="Style25">
    <w:name w:val="List"/>
    <w:basedOn w:val="Style24"/>
    <w:pPr/>
    <w:rPr>
      <w:rFonts w:cs="Droid Sans Devanagari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Droid Sans Devanagari"/>
    </w:rPr>
  </w:style>
  <w:style w:type="paragraph" w:styleId="Style28">
    <w:name w:val="Title"/>
    <w:next w:val="Style24"/>
    <w:uiPriority w:val="10"/>
    <w:qFormat/>
    <w:pPr>
      <w:widowControl/>
      <w:bidi w:val="0"/>
      <w:spacing w:lineRule="auto" w:line="276" w:before="567" w:after="567"/>
      <w:jc w:val="center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Droid Sans Devanagari"/>
    </w:rPr>
  </w:style>
  <w:style w:type="paragraph" w:styleId="Appleconvertedspace1" w:customStyle="1">
    <w:name w:val="apple-converted-space"/>
    <w:basedOn w:val="16"/>
    <w:qFormat/>
    <w:pPr/>
    <w:rPr/>
  </w:style>
  <w:style w:type="paragraph" w:styleId="24">
    <w:name w:val="TOC 2"/>
    <w:next w:val="Normal"/>
    <w:link w:val="220"/>
    <w:uiPriority w:val="39"/>
    <w:pPr>
      <w:widowControl/>
      <w:bidi w:val="0"/>
      <w:spacing w:lineRule="auto" w:line="276" w:before="0" w:after="200"/>
      <w:ind w:left="2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4" w:customStyle="1">
    <w:name w:val="Знак сноски1"/>
    <w:link w:val="af"/>
    <w:qFormat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6"/>
      <w:szCs w:val="20"/>
      <w:vertAlign w:val="superscript"/>
      <w:lang w:val="ru-RU" w:eastAsia="ru-RU" w:bidi="ar-SA"/>
    </w:rPr>
  </w:style>
  <w:style w:type="paragraph" w:styleId="Style29">
    <w:name w:val="Body Text Indent"/>
    <w:basedOn w:val="Normal"/>
    <w:pPr>
      <w:spacing w:lineRule="auto" w:line="360"/>
      <w:ind w:firstLine="720"/>
    </w:pPr>
    <w:rPr/>
  </w:style>
  <w:style w:type="paragraph" w:styleId="42">
    <w:name w:val="TOC 4"/>
    <w:next w:val="Normal"/>
    <w:link w:val="41"/>
    <w:uiPriority w:val="39"/>
    <w:pPr>
      <w:widowControl/>
      <w:bidi w:val="0"/>
      <w:spacing w:lineRule="auto" w:line="276" w:before="0" w:after="200"/>
      <w:ind w:left="6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42" w:customStyle="1">
    <w:name w:val="Style4"/>
    <w:basedOn w:val="Normal"/>
    <w:qFormat/>
    <w:pPr>
      <w:widowControl w:val="false"/>
      <w:spacing w:lineRule="exact" w:line="288"/>
      <w:ind w:firstLine="854"/>
      <w:jc w:val="left"/>
    </w:pPr>
    <w:rPr>
      <w:rFonts w:ascii="Times New Roman" w:hAnsi="Times New Roman"/>
      <w:sz w:val="24"/>
    </w:rPr>
  </w:style>
  <w:style w:type="paragraph" w:styleId="61">
    <w:name w:val="TOC 6"/>
    <w:next w:val="Normal"/>
    <w:uiPriority w:val="39"/>
    <w:pPr>
      <w:widowControl/>
      <w:bidi w:val="0"/>
      <w:spacing w:lineRule="auto" w:line="276" w:before="0" w:after="200"/>
      <w:ind w:left="10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73">
    <w:name w:val="TOC 7"/>
    <w:next w:val="Normal"/>
    <w:link w:val="71"/>
    <w:uiPriority w:val="39"/>
    <w:pPr>
      <w:widowControl/>
      <w:bidi w:val="0"/>
      <w:spacing w:lineRule="auto" w:line="276" w:before="0" w:after="200"/>
      <w:ind w:left="12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FontStyle181" w:customStyle="1">
    <w:name w:val="Font Style18"/>
    <w:basedOn w:val="16"/>
    <w:qFormat/>
    <w:pPr/>
    <w:rPr>
      <w:rFonts w:ascii="Times New Roman" w:hAnsi="Times New Roman"/>
      <w:b/>
    </w:rPr>
  </w:style>
  <w:style w:type="paragraph" w:styleId="Style30" w:customStyle="1">
    <w:name w:val="Прижатый влево"/>
    <w:basedOn w:val="Normal"/>
    <w:next w:val="Normal"/>
    <w:qFormat/>
    <w:pPr>
      <w:widowControl w:val="false"/>
      <w:jc w:val="left"/>
    </w:pPr>
    <w:rPr>
      <w:rFonts w:ascii="Times New Roman CYR" w:hAnsi="Times New Roman CYR"/>
      <w:sz w:val="24"/>
    </w:rPr>
  </w:style>
  <w:style w:type="paragraph" w:styleId="Style31" w:customStyle="1">
    <w:name w:val="Гипертекстовая ссылка"/>
    <w:basedOn w:val="16"/>
    <w:qFormat/>
    <w:pPr/>
    <w:rPr>
      <w:color w:val="106BBE"/>
    </w:rPr>
  </w:style>
  <w:style w:type="paragraph" w:styleId="Style32" w:customStyle="1">
    <w:name w:val="Верхний и нижний колонтитулы"/>
    <w:qFormat/>
    <w:pPr>
      <w:widowControl/>
      <w:bidi w:val="0"/>
      <w:spacing w:before="0" w:after="200"/>
      <w:jc w:val="both"/>
    </w:pPr>
    <w:rPr>
      <w:rFonts w:ascii="XO Thames" w:hAnsi="XO Thames" w:eastAsia="Times New Roman" w:cs="Times New Roman"/>
      <w:color w:val="000000"/>
      <w:kern w:val="0"/>
      <w:sz w:val="26"/>
      <w:szCs w:val="20"/>
      <w:lang w:val="ru-RU" w:eastAsia="ru-RU" w:bidi="ar-SA"/>
    </w:rPr>
  </w:style>
  <w:style w:type="paragraph" w:styleId="Style33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ntStyle131" w:customStyle="1">
    <w:name w:val="Font Style13"/>
    <w:basedOn w:val="16"/>
    <w:qFormat/>
    <w:pPr/>
    <w:rPr>
      <w:rFonts w:ascii="Times New Roman" w:hAnsi="Times New Roman"/>
    </w:rPr>
  </w:style>
  <w:style w:type="paragraph" w:styleId="212" w:customStyle="1">
    <w:name w:val="Оглавление 2 Знак1"/>
    <w:basedOn w:val="Normal"/>
    <w:qFormat/>
    <w:pPr>
      <w:spacing w:lineRule="auto" w:line="276" w:before="0" w:after="200"/>
      <w:ind w:left="720" w:hanging="0"/>
      <w:contextualSpacing/>
      <w:jc w:val="left"/>
    </w:pPr>
    <w:rPr>
      <w:rFonts w:ascii="Calibri" w:hAnsi="Calibri"/>
      <w:sz w:val="22"/>
    </w:rPr>
  </w:style>
  <w:style w:type="paragraph" w:styleId="BalloonText">
    <w:name w:val="Balloon Text"/>
    <w:basedOn w:val="Normal"/>
    <w:qFormat/>
    <w:pPr/>
    <w:rPr>
      <w:rFonts w:ascii="Tahoma" w:hAnsi="Tahoma"/>
      <w:sz w:val="16"/>
    </w:rPr>
  </w:style>
  <w:style w:type="paragraph" w:styleId="FontStyle121" w:customStyle="1">
    <w:name w:val="Font Style12"/>
    <w:qFormat/>
    <w:pPr>
      <w:widowControl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ConsPlusNormal1" w:customStyle="1">
    <w:name w:val="ConsPlusNormal"/>
    <w:qFormat/>
    <w:pPr>
      <w:widowControl w:val="false"/>
      <w:bidi w:val="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6"/>
      <w:szCs w:val="20"/>
      <w:lang w:val="ru-RU" w:eastAsia="ru-RU" w:bidi="ar-SA"/>
    </w:rPr>
  </w:style>
  <w:style w:type="paragraph" w:styleId="Style34" w:customStyle="1">
    <w:name w:val="Нормальный (таблица)"/>
    <w:basedOn w:val="Normal"/>
    <w:next w:val="Normal"/>
    <w:qFormat/>
    <w:pPr>
      <w:widowControl w:val="false"/>
    </w:pPr>
    <w:rPr>
      <w:rFonts w:ascii="Times New Roman CYR" w:hAnsi="Times New Roman CYR"/>
      <w:sz w:val="24"/>
    </w:rPr>
  </w:style>
  <w:style w:type="paragraph" w:styleId="15" w:customStyle="1">
    <w:name w:val="Знак примечания1"/>
    <w:link w:val="af1"/>
    <w:qFormat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16"/>
      <w:szCs w:val="20"/>
      <w:lang w:val="ru-RU" w:eastAsia="ru-RU" w:bidi="ar-SA"/>
    </w:rPr>
  </w:style>
  <w:style w:type="paragraph" w:styleId="BodyTextIndent2">
    <w:name w:val="Body Text Indent 2"/>
    <w:basedOn w:val="Normal"/>
    <w:link w:val="21"/>
    <w:qFormat/>
    <w:pPr>
      <w:ind w:firstLine="709"/>
    </w:pPr>
    <w:rPr>
      <w:rFonts w:ascii="Times New Roman" w:hAnsi="Times New Roman"/>
      <w:sz w:val="25"/>
    </w:rPr>
  </w:style>
  <w:style w:type="paragraph" w:styleId="34">
    <w:name w:val="TOC 3"/>
    <w:next w:val="Normal"/>
    <w:link w:val="34"/>
    <w:uiPriority w:val="39"/>
    <w:pPr>
      <w:widowControl/>
      <w:bidi w:val="0"/>
      <w:spacing w:lineRule="auto" w:line="276" w:before="0" w:after="200"/>
      <w:ind w:left="4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6" w:customStyle="1">
    <w:name w:val="Основной шрифт абзаца1"/>
    <w:qFormat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6"/>
      <w:szCs w:val="20"/>
      <w:lang w:val="ru-RU" w:eastAsia="ru-RU" w:bidi="ar-SA"/>
    </w:rPr>
  </w:style>
  <w:style w:type="paragraph" w:styleId="Style35">
    <w:name w:val="Head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qFormat/>
    <w:pPr>
      <w:widowControl/>
      <w:bidi w:val="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6"/>
      <w:szCs w:val="20"/>
      <w:lang w:val="ru-RU" w:eastAsia="ru-RU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17" w:customStyle="1">
    <w:name w:val="Гиперссылка1"/>
    <w:qFormat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FF"/>
      <w:kern w:val="0"/>
      <w:sz w:val="26"/>
      <w:szCs w:val="20"/>
      <w:u w:val="single"/>
      <w:lang w:val="ru-RU" w:eastAsia="ru-RU" w:bidi="ar-SA"/>
    </w:rPr>
  </w:style>
  <w:style w:type="paragraph" w:styleId="Footnote1" w:customStyle="1">
    <w:name w:val="Footnote"/>
    <w:basedOn w:val="Normal"/>
    <w:qFormat/>
    <w:pPr/>
    <w:rPr>
      <w:sz w:val="20"/>
    </w:rPr>
  </w:style>
  <w:style w:type="paragraph" w:styleId="18">
    <w:name w:val="TOC 1"/>
    <w:next w:val="Normal"/>
    <w:uiPriority w:val="39"/>
    <w:pPr>
      <w:widowControl/>
      <w:bidi w:val="0"/>
      <w:spacing w:lineRule="auto" w:line="276" w:before="0" w:after="20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FontStyle261" w:customStyle="1">
    <w:name w:val="Font Style26"/>
    <w:basedOn w:val="16"/>
    <w:qFormat/>
    <w:pPr/>
    <w:rPr>
      <w:rFonts w:ascii="Times New Roman" w:hAnsi="Times New Roman"/>
    </w:rPr>
  </w:style>
  <w:style w:type="paragraph" w:styleId="FontStyle191" w:customStyle="1">
    <w:name w:val="Font Style19"/>
    <w:basedOn w:val="16"/>
    <w:qFormat/>
    <w:pPr/>
    <w:rPr>
      <w:rFonts w:ascii="Times New Roman" w:hAnsi="Times New Roman"/>
    </w:rPr>
  </w:style>
  <w:style w:type="paragraph" w:styleId="ConsPlusTitle1" w:customStyle="1">
    <w:name w:val="ConsPlusTitle"/>
    <w:qFormat/>
    <w:pPr>
      <w:widowControl w:val="false"/>
      <w:bidi w:val="0"/>
      <w:jc w:val="left"/>
    </w:pPr>
    <w:rPr>
      <w:rFonts w:ascii="Calibri" w:hAnsi="Calibri" w:eastAsia="Times New Roman" w:cs="Times New Roman" w:asciiTheme="minorHAnsi" w:hAnsiTheme="minorHAnsi"/>
      <w:b/>
      <w:color w:val="000000"/>
      <w:kern w:val="0"/>
      <w:sz w:val="26"/>
      <w:szCs w:val="20"/>
      <w:lang w:val="ru-RU" w:eastAsia="ru-RU" w:bidi="ar-SA"/>
    </w:rPr>
  </w:style>
  <w:style w:type="paragraph" w:styleId="19" w:customStyle="1">
    <w:name w:val="Номер страницы1"/>
    <w:basedOn w:val="16"/>
    <w:qFormat/>
    <w:pPr/>
    <w:rPr/>
  </w:style>
  <w:style w:type="paragraph" w:styleId="Style36" w:customStyle="1">
    <w:name w:val="Таблицы (моноширинный)"/>
    <w:basedOn w:val="Normal"/>
    <w:next w:val="Normal"/>
    <w:qFormat/>
    <w:pPr>
      <w:widowControl w:val="false"/>
    </w:pPr>
    <w:rPr>
      <w:rFonts w:ascii="Courier New" w:hAnsi="Courier New"/>
      <w:sz w:val="20"/>
    </w:rPr>
  </w:style>
  <w:style w:type="paragraph" w:styleId="91">
    <w:name w:val="TOC 9"/>
    <w:next w:val="Normal"/>
    <w:uiPriority w:val="39"/>
    <w:pPr>
      <w:widowControl/>
      <w:bidi w:val="0"/>
      <w:spacing w:lineRule="auto" w:line="276" w:before="0" w:after="200"/>
      <w:ind w:left="16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Nowrap1" w:customStyle="1">
    <w:name w:val="nowrap"/>
    <w:basedOn w:val="16"/>
    <w:qFormat/>
    <w:pPr/>
    <w:rPr/>
  </w:style>
  <w:style w:type="paragraph" w:styleId="81">
    <w:name w:val="TOC 8"/>
    <w:next w:val="Normal"/>
    <w:uiPriority w:val="39"/>
    <w:pPr>
      <w:widowControl/>
      <w:bidi w:val="0"/>
      <w:spacing w:lineRule="auto" w:line="276" w:before="0" w:after="200"/>
      <w:ind w:left="14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53">
    <w:name w:val="TOC 5"/>
    <w:next w:val="Normal"/>
    <w:link w:val="51"/>
    <w:uiPriority w:val="39"/>
    <w:pPr>
      <w:widowControl/>
      <w:bidi w:val="0"/>
      <w:spacing w:lineRule="auto" w:line="276" w:before="0" w:after="200"/>
      <w:ind w:left="8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10" w:customStyle="1">
    <w:name w:val="Строгий1"/>
    <w:basedOn w:val="16"/>
    <w:qFormat/>
    <w:pPr/>
    <w:rPr>
      <w:b/>
    </w:rPr>
  </w:style>
  <w:style w:type="paragraph" w:styleId="Style37">
    <w:name w:val="Subtitle"/>
    <w:next w:val="Normal"/>
    <w:uiPriority w:val="11"/>
    <w:qFormat/>
    <w:pPr>
      <w:widowControl/>
      <w:bidi w:val="0"/>
      <w:spacing w:lineRule="auto" w:line="276" w:before="0" w:after="20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FontStyle331" w:customStyle="1">
    <w:name w:val="Font Style33"/>
    <w:qFormat/>
    <w:pPr>
      <w:widowControl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0"/>
      <w:kern w:val="0"/>
      <w:sz w:val="26"/>
      <w:szCs w:val="20"/>
      <w:lang w:val="ru-RU" w:eastAsia="ru-RU" w:bidi="ar-SA"/>
    </w:rPr>
  </w:style>
  <w:style w:type="paragraph" w:styleId="Style38" w:customStyle="1">
    <w:name w:val="Содержимое таблицы"/>
    <w:basedOn w:val="Normal"/>
    <w:qFormat/>
    <w:pPr>
      <w:suppressLineNumbers/>
    </w:pPr>
    <w:rPr/>
  </w:style>
  <w:style w:type="paragraph" w:styleId="Style39" w:customStyle="1">
    <w:name w:val="Заголовок таблицы"/>
    <w:basedOn w:val="Style38"/>
    <w:qFormat/>
    <w:pPr>
      <w:jc w:val="center"/>
    </w:pPr>
    <w:rPr>
      <w:b/>
      <w:bCs/>
    </w:rPr>
  </w:style>
  <w:style w:type="paragraph" w:styleId="111" w:customStyle="1">
    <w:name w:val="Заголовок1"/>
    <w:basedOn w:val="Normal"/>
    <w:next w:val="Style24"/>
    <w:qFormat/>
    <w:pPr>
      <w:jc w:val="center"/>
    </w:pPr>
    <w:rPr>
      <w:b/>
      <w:bCs/>
      <w:sz w:val="32"/>
      <w:lang w:val="en-US"/>
    </w:rPr>
  </w:style>
  <w:style w:type="paragraph" w:styleId="BodyText2">
    <w:name w:val="Body Text 2"/>
    <w:basedOn w:val="Normal"/>
    <w:uiPriority w:val="99"/>
    <w:unhideWhenUsed/>
    <w:qFormat/>
    <w:rsid w:val="00e71436"/>
    <w:pPr>
      <w:widowControl w:val="false"/>
      <w:ind w:right="252" w:hanging="0"/>
      <w:outlineLvl w:val="0"/>
    </w:pPr>
    <w:rPr>
      <w:rFonts w:ascii="Times New Roman" w:hAnsi="Times New Roman"/>
    </w:rPr>
  </w:style>
  <w:style w:type="paragraph" w:styleId="BodyText3">
    <w:name w:val="Body Text 3"/>
    <w:basedOn w:val="Normal"/>
    <w:link w:val="33"/>
    <w:uiPriority w:val="99"/>
    <w:unhideWhenUsed/>
    <w:qFormat/>
    <w:rsid w:val="00e71436"/>
    <w:pPr>
      <w:widowControl w:val="false"/>
      <w:ind w:right="252" w:hanging="0"/>
      <w:outlineLvl w:val="0"/>
    </w:pPr>
    <w:rPr>
      <w:rFonts w:ascii="Times New Roman" w:hAnsi="Times New Roman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ff7">
    <w:name w:val="Table Grid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Application>LibreOffice/6.3.0.4$Linux_X86_64 LibreOffice_project/057fc023c990d676a43019934386b85b21a9ee99</Application>
  <Pages>8</Pages>
  <Words>1660</Words>
  <Characters>13196</Characters>
  <CharactersWithSpaces>15372</CharactersWithSpaces>
  <Paragraphs>171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2023-12-12T09:19:00Z</dcterms:created>
  <dc:creator>DNS</dc:creator>
  <dc:description/>
  <dc:language>en-US</dc:language>
  <cp:lastModifiedBy/>
  <cp:lastPrinted>2024-03-05T17:19:41Z</cp:lastPrinted>
  <dcterms:modified xsi:type="dcterms:W3CDTF">2025-01-31T12:22:28Z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